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A9E63D" w14:textId="77777777" w:rsidR="00B06DAE" w:rsidRPr="00010629" w:rsidRDefault="00B06DAE" w:rsidP="00B06DAE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226D98">
        <w:rPr>
          <w:rFonts w:ascii="Arial" w:eastAsia="Arial" w:hAnsi="Arial" w:cs="Arial"/>
          <w:b/>
          <w:i/>
          <w:sz w:val="22"/>
          <w:szCs w:val="24"/>
        </w:rPr>
        <w:t xml:space="preserve">Culinary Arts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64F2AC37" w14:textId="77777777" w:rsidR="00B06DAE" w:rsidRPr="000016C8" w:rsidRDefault="00B06DAE" w:rsidP="00B06DA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9AF8A27" w14:textId="77777777" w:rsidR="00522541" w:rsidRDefault="0052254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051"/>
        <w:gridCol w:w="3553"/>
        <w:gridCol w:w="3555"/>
      </w:tblGrid>
      <w:tr w:rsidR="00226D98" w:rsidRPr="00657ED1" w14:paraId="37F40ABA" w14:textId="77777777" w:rsidTr="00226D98">
        <w:tc>
          <w:tcPr>
            <w:tcW w:w="1815" w:type="pct"/>
            <w:shd w:val="clear" w:color="auto" w:fill="00853E"/>
          </w:tcPr>
          <w:p w14:paraId="59FC6A0C" w14:textId="77777777" w:rsidR="00226D98" w:rsidRPr="00226D98" w:rsidRDefault="00226D98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26D9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592" w:type="pct"/>
            <w:shd w:val="clear" w:color="auto" w:fill="00853E"/>
          </w:tcPr>
          <w:p w14:paraId="6E36EB6A" w14:textId="77777777" w:rsidR="00226D98" w:rsidRPr="00657ED1" w:rsidRDefault="00226D98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593" w:type="pct"/>
            <w:shd w:val="clear" w:color="auto" w:fill="00853E"/>
          </w:tcPr>
          <w:p w14:paraId="437D4605" w14:textId="1FC439E3" w:rsidR="00226D98" w:rsidRPr="00226D98" w:rsidRDefault="00226D98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226D98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226D98" w:rsidRPr="00657ED1" w14:paraId="4A9D7A32" w14:textId="77777777" w:rsidTr="00226D98">
        <w:tc>
          <w:tcPr>
            <w:tcW w:w="1815" w:type="pct"/>
            <w:vAlign w:val="center"/>
          </w:tcPr>
          <w:p w14:paraId="284C6467" w14:textId="1A257C9B" w:rsidR="00226D98" w:rsidRPr="00E63FBD" w:rsidRDefault="00226D9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26D98">
              <w:rPr>
                <w:rFonts w:ascii="Arial" w:hAnsi="Arial" w:cs="Arial"/>
                <w:bCs/>
                <w:sz w:val="18"/>
                <w:szCs w:val="18"/>
              </w:rPr>
              <w:t>CHEF</w:t>
            </w:r>
            <w:r w:rsidR="007D7FC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26D98">
              <w:rPr>
                <w:rFonts w:ascii="Arial" w:hAnsi="Arial" w:cs="Arial"/>
                <w:bCs/>
                <w:sz w:val="18"/>
                <w:szCs w:val="18"/>
              </w:rPr>
              <w:t>1305</w:t>
            </w:r>
            <w:r w:rsidR="007D7FC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25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26D98">
              <w:rPr>
                <w:rFonts w:ascii="Arial" w:hAnsi="Arial" w:cs="Arial"/>
                <w:bCs/>
                <w:sz w:val="18"/>
                <w:szCs w:val="18"/>
              </w:rPr>
              <w:t>Sanitation and Safety+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781D6195" w14:textId="77F423D8" w:rsidR="00226D98" w:rsidRPr="00657ED1" w:rsidRDefault="00226D98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26D98">
              <w:rPr>
                <w:rFonts w:ascii="Arial" w:hAnsi="Arial" w:cs="Arial"/>
                <w:sz w:val="18"/>
                <w:szCs w:val="18"/>
              </w:rPr>
              <w:t>CHEF</w:t>
            </w:r>
            <w:r w:rsidR="007D7F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8B1">
              <w:rPr>
                <w:rFonts w:ascii="Arial" w:hAnsi="Arial" w:cs="Arial"/>
                <w:sz w:val="18"/>
                <w:szCs w:val="18"/>
              </w:rPr>
              <w:t xml:space="preserve">2331 </w:t>
            </w:r>
            <w:r w:rsidR="005225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E68B1">
              <w:rPr>
                <w:rFonts w:ascii="Arial" w:hAnsi="Arial" w:cs="Arial"/>
                <w:sz w:val="18"/>
                <w:szCs w:val="18"/>
              </w:rPr>
              <w:t>Advance Food Preparation</w:t>
            </w:r>
          </w:p>
        </w:tc>
        <w:tc>
          <w:tcPr>
            <w:tcW w:w="1593" w:type="pct"/>
            <w:vMerge w:val="restart"/>
            <w:shd w:val="clear" w:color="auto" w:fill="auto"/>
            <w:vAlign w:val="center"/>
          </w:tcPr>
          <w:p w14:paraId="15B48D4D" w14:textId="25933882" w:rsidR="00226D98" w:rsidRPr="00657ED1" w:rsidRDefault="00A559F5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1310 </w:t>
            </w:r>
            <w:r w:rsidR="005225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Grade Manger</w:t>
            </w:r>
          </w:p>
        </w:tc>
      </w:tr>
      <w:tr w:rsidR="00226D98" w:rsidRPr="00657ED1" w14:paraId="797B0DFB" w14:textId="77777777" w:rsidTr="00226D98">
        <w:trPr>
          <w:trHeight w:val="180"/>
        </w:trPr>
        <w:tc>
          <w:tcPr>
            <w:tcW w:w="1815" w:type="pct"/>
            <w:vAlign w:val="center"/>
          </w:tcPr>
          <w:p w14:paraId="1665A4FC" w14:textId="6542F365" w:rsidR="00226D98" w:rsidRPr="00E63FBD" w:rsidRDefault="00226D98" w:rsidP="00226D9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26D98">
              <w:rPr>
                <w:rFonts w:ascii="Arial" w:hAnsi="Arial" w:cs="Arial"/>
                <w:bCs/>
                <w:sz w:val="18"/>
                <w:szCs w:val="18"/>
              </w:rPr>
              <w:t>CHEF 1301</w:t>
            </w:r>
            <w:r w:rsidR="007D7FC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25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26D98">
              <w:rPr>
                <w:rFonts w:ascii="Arial" w:hAnsi="Arial" w:cs="Arial"/>
                <w:bCs/>
                <w:sz w:val="18"/>
                <w:szCs w:val="18"/>
              </w:rPr>
              <w:t>Basic Food Preparation#+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47DD1F19" w14:textId="1C079936" w:rsidR="00226D98" w:rsidRPr="00E63FBD" w:rsidRDefault="00226D98" w:rsidP="00226D9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26D98">
              <w:rPr>
                <w:rFonts w:ascii="Arial" w:hAnsi="Arial" w:cs="Arial"/>
                <w:bCs/>
                <w:sz w:val="18"/>
                <w:szCs w:val="18"/>
              </w:rPr>
              <w:t>RSTO 1304</w:t>
            </w:r>
            <w:r w:rsidR="004D02B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25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226D98">
              <w:rPr>
                <w:rFonts w:ascii="Arial" w:hAnsi="Arial" w:cs="Arial"/>
                <w:bCs/>
                <w:sz w:val="18"/>
                <w:szCs w:val="18"/>
              </w:rPr>
              <w:t>Dining Room Service</w:t>
            </w:r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547722B3" w14:textId="06320457" w:rsidR="00226D98" w:rsidRPr="00E63FBD" w:rsidRDefault="00226D9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226D98" w:rsidRPr="00657ED1" w14:paraId="1D407113" w14:textId="77777777" w:rsidTr="00226D98">
        <w:tc>
          <w:tcPr>
            <w:tcW w:w="1815" w:type="pct"/>
          </w:tcPr>
          <w:p w14:paraId="00D4580A" w14:textId="3EBF1BF3" w:rsidR="00226D98" w:rsidRPr="008B5C8B" w:rsidRDefault="009858CA" w:rsidP="00226D9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RSTO 1313 </w:t>
            </w:r>
            <w:r w:rsidR="005225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Hospitality Supervision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14D64953" w14:textId="267E8D80" w:rsidR="004D02BC" w:rsidRDefault="00BE68B1" w:rsidP="00226D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HAMG</w:t>
            </w:r>
            <w:r w:rsidR="00226D98" w:rsidRPr="008B5C8B">
              <w:rPr>
                <w:rFonts w:ascii="Arial" w:hAnsi="Arial" w:cs="Arial"/>
                <w:sz w:val="18"/>
                <w:szCs w:val="18"/>
              </w:rPr>
              <w:t xml:space="preserve"> 2301</w:t>
            </w:r>
            <w:r w:rsidR="00522541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226D98" w:rsidRPr="008B5C8B">
              <w:rPr>
                <w:rFonts w:ascii="Arial" w:hAnsi="Arial" w:cs="Arial"/>
                <w:sz w:val="18"/>
                <w:szCs w:val="18"/>
              </w:rPr>
              <w:t xml:space="preserve">Principles of Food and </w:t>
            </w:r>
          </w:p>
          <w:p w14:paraId="40C2BE3A" w14:textId="6EADB9A4" w:rsidR="00226D98" w:rsidRPr="008B5C8B" w:rsidRDefault="004D02BC" w:rsidP="00226D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226D98" w:rsidRPr="008B5C8B">
              <w:rPr>
                <w:rFonts w:ascii="Arial" w:hAnsi="Arial" w:cs="Arial"/>
                <w:sz w:val="18"/>
                <w:szCs w:val="18"/>
              </w:rPr>
              <w:t xml:space="preserve">Beverage </w:t>
            </w:r>
            <w:r w:rsidR="000F27F6">
              <w:rPr>
                <w:rFonts w:ascii="Arial" w:hAnsi="Arial" w:cs="Arial"/>
                <w:sz w:val="18"/>
                <w:szCs w:val="18"/>
              </w:rPr>
              <w:t>Operations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D4222DD" w14:textId="62EDFC65" w:rsidR="00226D98" w:rsidRPr="008B5C8B" w:rsidRDefault="00A559F5" w:rsidP="00226D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2302 </w:t>
            </w:r>
            <w:r w:rsidR="005225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Saucier</w:t>
            </w:r>
          </w:p>
        </w:tc>
      </w:tr>
      <w:tr w:rsidR="000F27F6" w:rsidRPr="00657ED1" w14:paraId="0170ED22" w14:textId="77777777" w:rsidTr="00226D98">
        <w:tc>
          <w:tcPr>
            <w:tcW w:w="1815" w:type="pct"/>
          </w:tcPr>
          <w:p w14:paraId="4C3E9D6C" w14:textId="57A61019" w:rsidR="000F27F6" w:rsidRPr="008B5C8B" w:rsidRDefault="000F27F6" w:rsidP="000F27F6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>ENGL</w:t>
            </w:r>
            <w:r w:rsidR="00522541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1301 </w:t>
            </w:r>
            <w:r w:rsidR="00522541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1592" w:type="pct"/>
            <w:vMerge w:val="restart"/>
            <w:shd w:val="clear" w:color="auto" w:fill="auto"/>
            <w:vAlign w:val="center"/>
          </w:tcPr>
          <w:p w14:paraId="225E46F1" w14:textId="3E6F092F" w:rsidR="000F27F6" w:rsidRPr="003544FD" w:rsidRDefault="000F27F6" w:rsidP="000F27F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544FD">
              <w:rPr>
                <w:rFonts w:ascii="Arial" w:hAnsi="Arial" w:cs="Arial"/>
                <w:sz w:val="18"/>
                <w:szCs w:val="18"/>
              </w:rPr>
              <w:t>PSYC 2301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25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544FD">
              <w:rPr>
                <w:rFonts w:ascii="Arial" w:hAnsi="Arial" w:cs="Arial"/>
                <w:sz w:val="18"/>
                <w:szCs w:val="18"/>
              </w:rPr>
              <w:t>General Psychology</w:t>
            </w:r>
            <w:r w:rsidRPr="003544FD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5D45D60" w14:textId="77777777" w:rsidR="000F27F6" w:rsidRPr="004D02BC" w:rsidRDefault="000F27F6" w:rsidP="000F27F6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4D02B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4D02BC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3A690BD4" w14:textId="17A488E3" w:rsidR="000F27F6" w:rsidRPr="00657ED1" w:rsidRDefault="000F27F6" w:rsidP="000F27F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544FD">
              <w:rPr>
                <w:rFonts w:ascii="Arial" w:hAnsi="Arial" w:cs="Arial"/>
                <w:sz w:val="18"/>
                <w:szCs w:val="18"/>
              </w:rPr>
              <w:t>SOCI 1301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25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544FD">
              <w:rPr>
                <w:rFonts w:ascii="Arial" w:hAnsi="Arial" w:cs="Arial"/>
                <w:sz w:val="18"/>
                <w:szCs w:val="18"/>
              </w:rPr>
              <w:t>Introduction to Sociology</w:t>
            </w:r>
            <w:r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93" w:type="pct"/>
            <w:vMerge w:val="restart"/>
            <w:shd w:val="clear" w:color="auto" w:fill="auto"/>
            <w:vAlign w:val="center"/>
          </w:tcPr>
          <w:p w14:paraId="335C4644" w14:textId="03DC0A11" w:rsidR="00E65D5F" w:rsidRDefault="00A559F5" w:rsidP="000F27F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CHEF 1264 </w:t>
            </w:r>
            <w:r w:rsidR="005225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65D5F">
              <w:rPr>
                <w:rFonts w:ascii="Arial" w:hAnsi="Arial" w:cs="Arial"/>
                <w:sz w:val="18"/>
                <w:szCs w:val="18"/>
              </w:rPr>
              <w:t xml:space="preserve">Practicum – Culinary </w:t>
            </w:r>
          </w:p>
          <w:p w14:paraId="192A28EE" w14:textId="46108BDA" w:rsidR="000F27F6" w:rsidRPr="00657ED1" w:rsidRDefault="00E65D5F" w:rsidP="000F27F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Arts/Chef Training</w:t>
            </w:r>
          </w:p>
        </w:tc>
      </w:tr>
      <w:tr w:rsidR="000F27F6" w:rsidRPr="00657ED1" w14:paraId="12735838" w14:textId="77777777" w:rsidTr="00226D98">
        <w:trPr>
          <w:trHeight w:val="424"/>
        </w:trPr>
        <w:tc>
          <w:tcPr>
            <w:tcW w:w="1815" w:type="pct"/>
            <w:vAlign w:val="center"/>
          </w:tcPr>
          <w:p w14:paraId="6445ED71" w14:textId="0311996A" w:rsidR="000F27F6" w:rsidRPr="00657ED1" w:rsidRDefault="00522541" w:rsidP="000F27F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anchor="mathematics" w:history="1">
              <w:r w:rsidR="000F27F6" w:rsidRPr="003544FD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0F27F6" w:rsidRPr="00226D98">
              <w:rPr>
                <w:rFonts w:ascii="Arial" w:hAnsi="Arial" w:cs="Arial"/>
                <w:sz w:val="18"/>
                <w:szCs w:val="18"/>
              </w:rPr>
              <w:t xml:space="preserve"> Elective</w:t>
            </w:r>
          </w:p>
        </w:tc>
        <w:tc>
          <w:tcPr>
            <w:tcW w:w="1592" w:type="pct"/>
            <w:vMerge/>
            <w:shd w:val="clear" w:color="auto" w:fill="auto"/>
            <w:vAlign w:val="center"/>
          </w:tcPr>
          <w:p w14:paraId="24AB92DF" w14:textId="77777777" w:rsidR="000F27F6" w:rsidRPr="00657ED1" w:rsidRDefault="000F27F6" w:rsidP="000F27F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69B2FBD0" w14:textId="68E7EE3D" w:rsidR="000F27F6" w:rsidRPr="00657ED1" w:rsidRDefault="000F27F6" w:rsidP="000F27F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27F6" w:rsidRPr="00657ED1" w14:paraId="5A04C5EA" w14:textId="77777777" w:rsidTr="00BE68B1">
        <w:tc>
          <w:tcPr>
            <w:tcW w:w="1815" w:type="pct"/>
            <w:shd w:val="clear" w:color="auto" w:fill="000000" w:themeFill="text1"/>
            <w:vAlign w:val="center"/>
          </w:tcPr>
          <w:p w14:paraId="5C8E91AD" w14:textId="68397BC0" w:rsidR="000F27F6" w:rsidRPr="00016F08" w:rsidRDefault="000F27F6" w:rsidP="000F27F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592" w:type="pct"/>
            <w:shd w:val="clear" w:color="auto" w:fill="000000" w:themeFill="text1"/>
            <w:vAlign w:val="center"/>
          </w:tcPr>
          <w:p w14:paraId="0E07696B" w14:textId="77777777" w:rsidR="000F27F6" w:rsidRPr="00016F08" w:rsidRDefault="000F27F6" w:rsidP="000F27F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593" w:type="pct"/>
            <w:shd w:val="clear" w:color="auto" w:fill="000000" w:themeFill="text1"/>
            <w:vAlign w:val="center"/>
          </w:tcPr>
          <w:p w14:paraId="6477910F" w14:textId="677CDB03" w:rsidR="000F27F6" w:rsidRPr="00016F08" w:rsidRDefault="000F27F6" w:rsidP="000F27F6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511212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591"/>
        <w:gridCol w:w="6568"/>
      </w:tblGrid>
      <w:tr w:rsidR="008517BD" w:rsidRPr="00657ED1" w14:paraId="3534F057" w14:textId="77777777" w:rsidTr="00380483">
        <w:tc>
          <w:tcPr>
            <w:tcW w:w="2057" w:type="pct"/>
            <w:shd w:val="clear" w:color="auto" w:fill="00853E"/>
          </w:tcPr>
          <w:p w14:paraId="532C8A0A" w14:textId="6794EA79" w:rsidR="00F36FAA" w:rsidRPr="00657ED1" w:rsidRDefault="00226D98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943" w:type="pct"/>
            <w:shd w:val="clear" w:color="auto" w:fill="00853E"/>
          </w:tcPr>
          <w:p w14:paraId="6EB87387" w14:textId="30D5AEE9" w:rsidR="00F36FAA" w:rsidRPr="00657ED1" w:rsidRDefault="00226D98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FIFTH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380483">
        <w:tc>
          <w:tcPr>
            <w:tcW w:w="2057" w:type="pct"/>
            <w:shd w:val="clear" w:color="auto" w:fill="auto"/>
          </w:tcPr>
          <w:p w14:paraId="4AF4FB78" w14:textId="518B4874" w:rsidR="00967B0A" w:rsidRPr="00657ED1" w:rsidRDefault="002823B1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RSTO 2301 </w:t>
            </w:r>
            <w:r w:rsidR="0052254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4C16">
              <w:rPr>
                <w:rFonts w:ascii="Arial" w:hAnsi="Arial" w:cs="Arial"/>
                <w:sz w:val="18"/>
                <w:szCs w:val="18"/>
              </w:rPr>
              <w:t>Principle of Food and Beverage controls</w:t>
            </w:r>
          </w:p>
        </w:tc>
        <w:tc>
          <w:tcPr>
            <w:tcW w:w="2943" w:type="pct"/>
            <w:shd w:val="clear" w:color="auto" w:fill="auto"/>
            <w:vAlign w:val="center"/>
          </w:tcPr>
          <w:p w14:paraId="335FF779" w14:textId="38071AB0" w:rsidR="00967B0A" w:rsidRPr="000C03EE" w:rsidRDefault="00511212" w:rsidP="003544F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RSTO 1325 </w:t>
            </w:r>
            <w:r w:rsidR="00FF295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Purchasing for Hospitality</w:t>
            </w:r>
          </w:p>
        </w:tc>
      </w:tr>
      <w:tr w:rsidR="003544FD" w:rsidRPr="00657ED1" w14:paraId="662F0B7B" w14:textId="77777777" w:rsidTr="00380483">
        <w:trPr>
          <w:trHeight w:val="424"/>
        </w:trPr>
        <w:tc>
          <w:tcPr>
            <w:tcW w:w="2057" w:type="pct"/>
            <w:shd w:val="clear" w:color="auto" w:fill="auto"/>
            <w:vAlign w:val="center"/>
          </w:tcPr>
          <w:p w14:paraId="03B96BF2" w14:textId="02AA5A6C" w:rsidR="003544FD" w:rsidRPr="008B5C8B" w:rsidRDefault="009E4C16" w:rsidP="00226D9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PSTR 1301 </w:t>
            </w:r>
            <w:r w:rsidR="005225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80483">
              <w:rPr>
                <w:rFonts w:ascii="Arial" w:hAnsi="Arial" w:cs="Arial"/>
                <w:bCs/>
                <w:sz w:val="18"/>
                <w:szCs w:val="18"/>
              </w:rPr>
              <w:t>Fundamentals of Baking</w:t>
            </w:r>
          </w:p>
        </w:tc>
        <w:tc>
          <w:tcPr>
            <w:tcW w:w="2943" w:type="pct"/>
            <w:shd w:val="clear" w:color="auto" w:fill="auto"/>
            <w:vAlign w:val="center"/>
          </w:tcPr>
          <w:p w14:paraId="7B6ED6B0" w14:textId="5489067D" w:rsidR="003544FD" w:rsidRPr="00657ED1" w:rsidRDefault="00B012E5" w:rsidP="003544F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IFWA 1318 </w:t>
            </w:r>
            <w:r w:rsidR="00FF295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Nutrition for the Food Service Professional</w:t>
            </w:r>
          </w:p>
        </w:tc>
      </w:tr>
      <w:tr w:rsidR="00380483" w:rsidRPr="00657ED1" w14:paraId="213BD91E" w14:textId="77777777" w:rsidTr="00380483">
        <w:tc>
          <w:tcPr>
            <w:tcW w:w="2057" w:type="pct"/>
            <w:shd w:val="clear" w:color="auto" w:fill="auto"/>
            <w:vAlign w:val="center"/>
          </w:tcPr>
          <w:p w14:paraId="6521D799" w14:textId="5DA68D85" w:rsidR="00380483" w:rsidRPr="003544FD" w:rsidRDefault="00380483" w:rsidP="003804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44FD">
              <w:rPr>
                <w:rFonts w:ascii="Arial" w:hAnsi="Arial" w:cs="Arial"/>
                <w:bCs/>
                <w:sz w:val="18"/>
                <w:szCs w:val="18"/>
              </w:rPr>
              <w:t>CHEF 1441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25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>American Regional Cuisine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E59088F" w14:textId="77777777" w:rsidR="00380483" w:rsidRPr="004D02BC" w:rsidRDefault="00380483" w:rsidP="0038048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4D02BC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Pr="004D02BC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4C938B9D" w14:textId="757D294E" w:rsidR="00380483" w:rsidRPr="000C03EE" w:rsidRDefault="00380483" w:rsidP="003804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44FD">
              <w:rPr>
                <w:rFonts w:ascii="Arial" w:hAnsi="Arial" w:cs="Arial"/>
                <w:bCs/>
                <w:sz w:val="18"/>
                <w:szCs w:val="18"/>
              </w:rPr>
              <w:t>CHEF</w:t>
            </w:r>
            <w:r w:rsidR="0052254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>1445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225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>International Cuisine</w:t>
            </w:r>
          </w:p>
        </w:tc>
        <w:tc>
          <w:tcPr>
            <w:tcW w:w="2943" w:type="pct"/>
            <w:shd w:val="clear" w:color="auto" w:fill="auto"/>
            <w:vAlign w:val="center"/>
          </w:tcPr>
          <w:p w14:paraId="353C2899" w14:textId="5318BAC2" w:rsidR="00380483" w:rsidRPr="003544FD" w:rsidRDefault="00380483" w:rsidP="003804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44FD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FF2950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FEE4275" w14:textId="24C7CC32" w:rsidR="00380483" w:rsidRPr="006856E9" w:rsidRDefault="00380483" w:rsidP="0038048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6856E9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Pr="006856E9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52786A47" w14:textId="2A68F263" w:rsidR="00380483" w:rsidRPr="003544FD" w:rsidRDefault="00380483" w:rsidP="003804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44FD">
              <w:rPr>
                <w:rFonts w:ascii="Arial" w:hAnsi="Arial" w:cs="Arial"/>
                <w:bCs/>
                <w:sz w:val="18"/>
                <w:szCs w:val="18"/>
              </w:rPr>
              <w:t>SPCH 1315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F295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>Public Speaking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0921595" w14:textId="4205C42D" w:rsidR="00380483" w:rsidRPr="008F1072" w:rsidRDefault="00380483" w:rsidP="0038048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8F1072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Pr="008F1072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535FE75E" w14:textId="425260D5" w:rsidR="00380483" w:rsidRPr="000C03EE" w:rsidRDefault="00380483" w:rsidP="00380483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44FD">
              <w:rPr>
                <w:rFonts w:ascii="Arial" w:hAnsi="Arial" w:cs="Arial"/>
                <w:bCs/>
                <w:sz w:val="18"/>
                <w:szCs w:val="18"/>
              </w:rPr>
              <w:t>SPCH</w:t>
            </w:r>
            <w:r w:rsidR="00FF295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>1321</w:t>
            </w:r>
            <w:r w:rsidR="00FF2950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>Business and Professional Communication</w:t>
            </w:r>
            <w:r w:rsidRPr="003544FD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380483" w:rsidRPr="00657ED1" w14:paraId="47815579" w14:textId="77777777" w:rsidTr="00380483">
        <w:trPr>
          <w:trHeight w:val="40"/>
        </w:trPr>
        <w:tc>
          <w:tcPr>
            <w:tcW w:w="2057" w:type="pct"/>
            <w:shd w:val="clear" w:color="auto" w:fill="auto"/>
            <w:vAlign w:val="center"/>
          </w:tcPr>
          <w:p w14:paraId="100510D2" w14:textId="68D48EF9" w:rsidR="00380483" w:rsidRPr="00657ED1" w:rsidRDefault="00FF2950" w:rsidP="003804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380483" w:rsidRPr="003544FD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943" w:type="pct"/>
            <w:shd w:val="clear" w:color="auto" w:fill="auto"/>
            <w:vAlign w:val="center"/>
          </w:tcPr>
          <w:p w14:paraId="2D62EF41" w14:textId="78A4167A" w:rsidR="00380483" w:rsidRPr="00657ED1" w:rsidRDefault="00223E32" w:rsidP="008544E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RSTO 1380 </w:t>
            </w:r>
            <w:r w:rsidR="00FF295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Cooperative Education – Restaurant, Culinary Catering</w:t>
            </w:r>
            <w:r w:rsidR="008544E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Manag</w:t>
            </w:r>
            <w:r w:rsidR="00694A77"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380483" w:rsidRPr="00657ED1" w14:paraId="1B2EE322" w14:textId="77777777" w:rsidTr="00380483">
        <w:trPr>
          <w:trHeight w:val="40"/>
        </w:trPr>
        <w:tc>
          <w:tcPr>
            <w:tcW w:w="2057" w:type="pct"/>
            <w:shd w:val="clear" w:color="auto" w:fill="000000" w:themeFill="text1"/>
            <w:vAlign w:val="center"/>
          </w:tcPr>
          <w:p w14:paraId="2C87E6AD" w14:textId="1B77F887" w:rsidR="00380483" w:rsidRPr="00016F08" w:rsidRDefault="00380483" w:rsidP="0038048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13</w:t>
            </w:r>
          </w:p>
        </w:tc>
        <w:tc>
          <w:tcPr>
            <w:tcW w:w="2943" w:type="pct"/>
            <w:shd w:val="clear" w:color="auto" w:fill="000000" w:themeFill="text1"/>
            <w:vAlign w:val="center"/>
          </w:tcPr>
          <w:p w14:paraId="74A93A4F" w14:textId="4446FC3A" w:rsidR="00380483" w:rsidRPr="00016F08" w:rsidRDefault="00380483" w:rsidP="0038048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524792E3" w14:textId="77777777" w:rsidR="00AA0712" w:rsidRDefault="00AA0712" w:rsidP="00AA071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EDB0035" w14:textId="77777777" w:rsidR="00AA0712" w:rsidRPr="002C6235" w:rsidRDefault="00AA0712" w:rsidP="00AA071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FD7F522" w14:textId="5A8FE7BC" w:rsidR="00AA0712" w:rsidRDefault="00E474BD" w:rsidP="00E474B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79159D1" wp14:editId="0F44493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64A79" w14:textId="669B607B" w:rsidR="00AA0712" w:rsidRPr="0097495D" w:rsidRDefault="00AA0712" w:rsidP="00AA071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273FB64" w14:textId="77777777" w:rsidR="00AA0712" w:rsidRPr="002C6235" w:rsidRDefault="00AA0712" w:rsidP="00AA071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68019B3" w14:textId="77777777" w:rsidR="00AA0712" w:rsidRPr="00910CB3" w:rsidRDefault="00AA0712" w:rsidP="00AA071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B66B0DC" w14:textId="77777777" w:rsidR="00AA0712" w:rsidRPr="002C6235" w:rsidRDefault="00AA0712" w:rsidP="00AA07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D9BB0AD" w14:textId="77777777" w:rsidR="00AA0712" w:rsidRPr="002C6235" w:rsidRDefault="00AA0712" w:rsidP="00AA07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8D5C500" w14:textId="77777777" w:rsidR="00AA0712" w:rsidRPr="002872F7" w:rsidRDefault="00AA0712" w:rsidP="00AA07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BF35710" w14:textId="77777777" w:rsidR="00AA0712" w:rsidRPr="002872F7" w:rsidRDefault="00AA0712" w:rsidP="00AA071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687A407B" w14:textId="5E9D4406" w:rsidR="00462EDD" w:rsidRPr="007738DB" w:rsidRDefault="00462EDD" w:rsidP="00AA0712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462EDD" w:rsidRPr="007738DB" w:rsidSect="00CA2F5C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F114F" w14:textId="77777777" w:rsidR="00773FAB" w:rsidRDefault="00773FAB">
      <w:pPr>
        <w:spacing w:after="0" w:line="240" w:lineRule="auto"/>
      </w:pPr>
      <w:r>
        <w:separator/>
      </w:r>
    </w:p>
  </w:endnote>
  <w:endnote w:type="continuationSeparator" w:id="0">
    <w:p w14:paraId="1A66337C" w14:textId="77777777" w:rsidR="00773FAB" w:rsidRDefault="00773FAB">
      <w:pPr>
        <w:spacing w:after="0" w:line="240" w:lineRule="auto"/>
      </w:pPr>
      <w:r>
        <w:continuationSeparator/>
      </w:r>
    </w:p>
  </w:endnote>
  <w:endnote w:type="continuationNotice" w:id="1">
    <w:p w14:paraId="5796FC62" w14:textId="77777777" w:rsidR="005869A9" w:rsidRDefault="005869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87EA4" w14:textId="77777777" w:rsidR="003F3455" w:rsidRDefault="003F3455" w:rsidP="003F3455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61E99FA6" w:rsidR="00F36FAA" w:rsidRPr="00016F08" w:rsidRDefault="003F3455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  <w:r w:rsidR="00084FF1"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9728E58" wp14:editId="79B85AEC">
          <wp:simplePos x="0" y="0"/>
          <wp:positionH relativeFrom="column">
            <wp:posOffset>-113030</wp:posOffset>
          </wp:positionH>
          <wp:positionV relativeFrom="paragraph">
            <wp:posOffset>72835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0D6A9" w14:textId="77777777" w:rsidR="00773FAB" w:rsidRDefault="00773FAB">
      <w:pPr>
        <w:spacing w:after="0" w:line="240" w:lineRule="auto"/>
      </w:pPr>
      <w:r>
        <w:separator/>
      </w:r>
    </w:p>
  </w:footnote>
  <w:footnote w:type="continuationSeparator" w:id="0">
    <w:p w14:paraId="03DD2B5E" w14:textId="77777777" w:rsidR="00773FAB" w:rsidRDefault="00773FAB">
      <w:pPr>
        <w:spacing w:after="0" w:line="240" w:lineRule="auto"/>
      </w:pPr>
      <w:r>
        <w:continuationSeparator/>
      </w:r>
    </w:p>
  </w:footnote>
  <w:footnote w:type="continuationNotice" w:id="1">
    <w:p w14:paraId="567738A3" w14:textId="77777777" w:rsidR="005869A9" w:rsidRDefault="005869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384EB94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226D98" w:rsidRPr="00226D9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Culinary Arts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47EACF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98085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98085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384EB94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226D98" w:rsidRPr="00226D9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Culinary Arts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47EACF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98085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98085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F27F6"/>
    <w:rsid w:val="001153FE"/>
    <w:rsid w:val="001220B7"/>
    <w:rsid w:val="001331FE"/>
    <w:rsid w:val="00136D05"/>
    <w:rsid w:val="001508C9"/>
    <w:rsid w:val="00152531"/>
    <w:rsid w:val="00176981"/>
    <w:rsid w:val="0018140D"/>
    <w:rsid w:val="001B0EC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23E32"/>
    <w:rsid w:val="00226D98"/>
    <w:rsid w:val="0023345B"/>
    <w:rsid w:val="002408C6"/>
    <w:rsid w:val="002823B1"/>
    <w:rsid w:val="002846FC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544FD"/>
    <w:rsid w:val="00380483"/>
    <w:rsid w:val="00383BB7"/>
    <w:rsid w:val="00397E5E"/>
    <w:rsid w:val="003A3BF5"/>
    <w:rsid w:val="003B3349"/>
    <w:rsid w:val="003C66F9"/>
    <w:rsid w:val="003D046E"/>
    <w:rsid w:val="003D27AB"/>
    <w:rsid w:val="003E5710"/>
    <w:rsid w:val="003F2012"/>
    <w:rsid w:val="003F270D"/>
    <w:rsid w:val="003F3455"/>
    <w:rsid w:val="00461FFC"/>
    <w:rsid w:val="00462EDD"/>
    <w:rsid w:val="004706E7"/>
    <w:rsid w:val="004712FA"/>
    <w:rsid w:val="00472755"/>
    <w:rsid w:val="00474E76"/>
    <w:rsid w:val="004818A3"/>
    <w:rsid w:val="004A062E"/>
    <w:rsid w:val="004B70CE"/>
    <w:rsid w:val="004C289F"/>
    <w:rsid w:val="004D02BC"/>
    <w:rsid w:val="004E685D"/>
    <w:rsid w:val="004F158A"/>
    <w:rsid w:val="004F55D2"/>
    <w:rsid w:val="004F56BD"/>
    <w:rsid w:val="00511212"/>
    <w:rsid w:val="00522541"/>
    <w:rsid w:val="0052343D"/>
    <w:rsid w:val="005374DD"/>
    <w:rsid w:val="005439CD"/>
    <w:rsid w:val="005557D1"/>
    <w:rsid w:val="005869A9"/>
    <w:rsid w:val="0060244A"/>
    <w:rsid w:val="0061361D"/>
    <w:rsid w:val="00625AE0"/>
    <w:rsid w:val="00657ED1"/>
    <w:rsid w:val="0066238D"/>
    <w:rsid w:val="00682551"/>
    <w:rsid w:val="006838BB"/>
    <w:rsid w:val="00684525"/>
    <w:rsid w:val="00684D6D"/>
    <w:rsid w:val="006856E9"/>
    <w:rsid w:val="00694A77"/>
    <w:rsid w:val="006A330A"/>
    <w:rsid w:val="006D4AA3"/>
    <w:rsid w:val="007077D2"/>
    <w:rsid w:val="007203B2"/>
    <w:rsid w:val="00734898"/>
    <w:rsid w:val="007728D8"/>
    <w:rsid w:val="007738DB"/>
    <w:rsid w:val="00773FAB"/>
    <w:rsid w:val="00775A00"/>
    <w:rsid w:val="007D613E"/>
    <w:rsid w:val="007D75A4"/>
    <w:rsid w:val="007D7FCB"/>
    <w:rsid w:val="007F5824"/>
    <w:rsid w:val="00812ED0"/>
    <w:rsid w:val="0081374F"/>
    <w:rsid w:val="00824D6A"/>
    <w:rsid w:val="00825FEB"/>
    <w:rsid w:val="008517BD"/>
    <w:rsid w:val="008544E8"/>
    <w:rsid w:val="00867C55"/>
    <w:rsid w:val="00890F96"/>
    <w:rsid w:val="00891F55"/>
    <w:rsid w:val="008A2DEB"/>
    <w:rsid w:val="008B5C8B"/>
    <w:rsid w:val="008F1072"/>
    <w:rsid w:val="00937CBD"/>
    <w:rsid w:val="00951050"/>
    <w:rsid w:val="009565B6"/>
    <w:rsid w:val="00967B0A"/>
    <w:rsid w:val="00980852"/>
    <w:rsid w:val="009858CA"/>
    <w:rsid w:val="009E4C16"/>
    <w:rsid w:val="00A17857"/>
    <w:rsid w:val="00A22A48"/>
    <w:rsid w:val="00A3103B"/>
    <w:rsid w:val="00A31189"/>
    <w:rsid w:val="00A50CFA"/>
    <w:rsid w:val="00A559F5"/>
    <w:rsid w:val="00AA0712"/>
    <w:rsid w:val="00AB7C4C"/>
    <w:rsid w:val="00AC2AA1"/>
    <w:rsid w:val="00AD0F08"/>
    <w:rsid w:val="00AD4DDD"/>
    <w:rsid w:val="00AE39E4"/>
    <w:rsid w:val="00AF2DD7"/>
    <w:rsid w:val="00AF64CA"/>
    <w:rsid w:val="00AF7C11"/>
    <w:rsid w:val="00B012E5"/>
    <w:rsid w:val="00B021C4"/>
    <w:rsid w:val="00B05F50"/>
    <w:rsid w:val="00B06DAE"/>
    <w:rsid w:val="00B457A9"/>
    <w:rsid w:val="00B66890"/>
    <w:rsid w:val="00B917F4"/>
    <w:rsid w:val="00B97AB5"/>
    <w:rsid w:val="00BA6E41"/>
    <w:rsid w:val="00BE2CD9"/>
    <w:rsid w:val="00BE3ADD"/>
    <w:rsid w:val="00BE68B1"/>
    <w:rsid w:val="00BE6C2C"/>
    <w:rsid w:val="00C16CF2"/>
    <w:rsid w:val="00C22FAF"/>
    <w:rsid w:val="00C247B5"/>
    <w:rsid w:val="00C31613"/>
    <w:rsid w:val="00C57097"/>
    <w:rsid w:val="00C66A8D"/>
    <w:rsid w:val="00C70EC3"/>
    <w:rsid w:val="00C7123F"/>
    <w:rsid w:val="00C7258E"/>
    <w:rsid w:val="00C9161F"/>
    <w:rsid w:val="00CA2F5C"/>
    <w:rsid w:val="00CD5DDE"/>
    <w:rsid w:val="00CE2616"/>
    <w:rsid w:val="00CE4B66"/>
    <w:rsid w:val="00D37FA3"/>
    <w:rsid w:val="00D41DF6"/>
    <w:rsid w:val="00D47E57"/>
    <w:rsid w:val="00D5020E"/>
    <w:rsid w:val="00DF0ACB"/>
    <w:rsid w:val="00E32C5F"/>
    <w:rsid w:val="00E474BD"/>
    <w:rsid w:val="00E63FBD"/>
    <w:rsid w:val="00E65D5F"/>
    <w:rsid w:val="00E73669"/>
    <w:rsid w:val="00E76B23"/>
    <w:rsid w:val="00EB3371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B7714"/>
    <w:rsid w:val="00FC53D1"/>
    <w:rsid w:val="00FF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8B60AE7C-E516-49EB-AD64-41B60BD0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424565-9ECB-4FE8-8F60-BA52EB8461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53C65-E9DC-4BFA-A5E9-A30C79E84619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fedf4bd8-bba8-4292-97a2-c6a45d79764f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11d155ad-0abc-46d4-8e59-a8395c5519f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3BCA05B-3B8C-4BA8-9FFA-71DB397F9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3311</CharactersWithSpaces>
  <SharedDoc>false</SharedDoc>
  <HLinks>
    <vt:vector size="18" baseType="variant">
      <vt:variant>
        <vt:i4>393276</vt:i4>
      </vt:variant>
      <vt:variant>
        <vt:i4>6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2228280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3538998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27</cp:revision>
  <cp:lastPrinted>2023-05-20T16:06:00Z</cp:lastPrinted>
  <dcterms:created xsi:type="dcterms:W3CDTF">2024-07-09T23:39:00Z</dcterms:created>
  <dcterms:modified xsi:type="dcterms:W3CDTF">2024-11-12T16:09:00Z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